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620E" w14:textId="77777777" w:rsidR="001042AF" w:rsidRDefault="00A339C8">
      <w:pPr>
        <w:spacing w:after="40"/>
        <w:jc w:val="center"/>
      </w:pPr>
      <w:r>
        <w:rPr>
          <w:b/>
          <w:color w:val="0A3767"/>
          <w:sz w:val="48"/>
        </w:rPr>
        <w:t>NKCyberTech</w:t>
      </w:r>
    </w:p>
    <w:p w14:paraId="743E843B" w14:textId="77777777" w:rsidR="001042AF" w:rsidRDefault="00A339C8">
      <w:pPr>
        <w:jc w:val="center"/>
      </w:pPr>
      <w:r>
        <w:rPr>
          <w:b/>
          <w:color w:val="119FD0"/>
          <w:sz w:val="18"/>
        </w:rPr>
        <w:t>CYBERSECURITY  •  RISK  •  PRIVACY  •  COMPLIANCE</w:t>
      </w:r>
    </w:p>
    <w:p w14:paraId="1D63C0C6" w14:textId="77777777" w:rsidR="001042AF" w:rsidRDefault="00A339C8">
      <w:pPr>
        <w:pStyle w:val="Title"/>
        <w:spacing w:after="80"/>
        <w:jc w:val="center"/>
      </w:pPr>
      <w:r>
        <w:t>Cybersecurity &amp; Compliance Services</w:t>
      </w:r>
    </w:p>
    <w:p w14:paraId="16E730CB" w14:textId="77777777" w:rsidR="001042AF" w:rsidRDefault="00A339C8">
      <w:pPr>
        <w:spacing w:after="280"/>
        <w:jc w:val="center"/>
      </w:pPr>
      <w:r>
        <w:rPr>
          <w:sz w:val="23"/>
        </w:rPr>
        <w:t>Senior-led, practical support for startups, SaaS companies, healthcare, and regulated organizations.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1042AF" w14:paraId="336AF836" w14:textId="77777777">
        <w:trPr>
          <w:jc w:val="center"/>
        </w:trPr>
        <w:tc>
          <w:tcPr>
            <w:tcW w:w="10368" w:type="dxa"/>
            <w:shd w:val="clear" w:color="auto" w:fill="0A3767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E478C73" w14:textId="77777777" w:rsidR="001042AF" w:rsidRDefault="00A339C8">
            <w:r>
              <w:rPr>
                <w:b/>
                <w:color w:val="FFFFFF"/>
                <w:sz w:val="28"/>
              </w:rPr>
              <w:t>WHO WE ARE</w:t>
            </w:r>
          </w:p>
          <w:p w14:paraId="59E3F42A" w14:textId="77777777" w:rsidR="001042AF" w:rsidRDefault="00A339C8">
            <w:r>
              <w:rPr>
                <w:color w:val="FFFFFF"/>
              </w:rPr>
              <w:t>NKCyberTech is a cybersecurity and compliance advisory firm helping startups, SaaS companies, and regulated organizations build audit-ready, scalable security and privacy programs.</w:t>
            </w:r>
          </w:p>
          <w:p w14:paraId="191AC7AD" w14:textId="77777777" w:rsidR="001042AF" w:rsidRDefault="00A339C8">
            <w:r>
              <w:rPr>
                <w:color w:val="FFFFFF"/>
              </w:rPr>
              <w:t>We combine deep regulatory expertise with practical implementation—so you don't just check boxes, you build systems that actually work.</w:t>
            </w:r>
          </w:p>
        </w:tc>
      </w:tr>
    </w:tbl>
    <w:p w14:paraId="29C10A95" w14:textId="77777777" w:rsidR="001042AF" w:rsidRDefault="001042AF">
      <w:pPr>
        <w:spacing w:after="40"/>
      </w:pPr>
    </w:p>
    <w:p w14:paraId="6DBFBD3C" w14:textId="77777777" w:rsidR="001042AF" w:rsidRDefault="00A339C8">
      <w:pPr>
        <w:pStyle w:val="Heading1"/>
      </w:pPr>
      <w:r>
        <w:t>Our Services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1042AF" w14:paraId="30180364" w14:textId="77777777">
        <w:trPr>
          <w:jc w:val="center"/>
        </w:trPr>
        <w:tc>
          <w:tcPr>
            <w:tcW w:w="5112" w:type="dxa"/>
            <w:shd w:val="clear" w:color="auto" w:fill="F5F9F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FCB8F18" w14:textId="77777777" w:rsidR="001042AF" w:rsidRDefault="00A339C8">
            <w:r>
              <w:rPr>
                <w:b/>
                <w:color w:val="17365D"/>
                <w:sz w:val="25"/>
              </w:rPr>
              <w:t>Compliance &amp; Audit Readiness</w:t>
            </w:r>
          </w:p>
          <w:p w14:paraId="6F3D85ED" w14:textId="77777777" w:rsidR="001042AF" w:rsidRDefault="00A339C8">
            <w:pPr>
              <w:spacing w:after="80"/>
            </w:pPr>
            <w:r>
              <w:t>We help organizations achieve and maintain compliance with global frameworks through practical, audit-defensible programs.</w:t>
            </w:r>
          </w:p>
          <w:p w14:paraId="2647B8D4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288A6DDD" w14:textId="77777777" w:rsidR="001042AF" w:rsidRDefault="00A339C8">
            <w:pPr>
              <w:pStyle w:val="ListBullet"/>
              <w:spacing w:after="20"/>
            </w:pPr>
            <w:r>
              <w:t>SOC 1 &amp; SOC 2 (Type I &amp; II)</w:t>
            </w:r>
          </w:p>
          <w:p w14:paraId="61A590BF" w14:textId="77777777" w:rsidR="001042AF" w:rsidRDefault="00A339C8">
            <w:pPr>
              <w:pStyle w:val="ListBullet"/>
              <w:spacing w:after="20"/>
            </w:pPr>
            <w:r>
              <w:t>ISO/IEC 27001:2022 implementation</w:t>
            </w:r>
          </w:p>
          <w:p w14:paraId="27AEEAF2" w14:textId="77777777" w:rsidR="001042AF" w:rsidRDefault="00A339C8">
            <w:pPr>
              <w:pStyle w:val="ListBullet"/>
              <w:spacing w:after="20"/>
            </w:pPr>
            <w:r>
              <w:t>HIPAA Security &amp; Privacy Rule</w:t>
            </w:r>
          </w:p>
          <w:p w14:paraId="7C780D8B" w14:textId="77777777" w:rsidR="001042AF" w:rsidRDefault="00A339C8">
            <w:pPr>
              <w:pStyle w:val="ListBullet"/>
              <w:spacing w:after="20"/>
            </w:pPr>
            <w:r>
              <w:t>NIS2, DORA, TISAX readiness</w:t>
            </w:r>
          </w:p>
          <w:p w14:paraId="24AC8037" w14:textId="77777777" w:rsidR="001042AF" w:rsidRDefault="00A339C8">
            <w:pPr>
              <w:pStyle w:val="ListBullet"/>
              <w:spacing w:after="20"/>
            </w:pPr>
            <w:r>
              <w:t>PCI DSS &amp; NIST alignment</w:t>
            </w:r>
          </w:p>
        </w:tc>
        <w:tc>
          <w:tcPr>
            <w:tcW w:w="5112" w:type="dxa"/>
            <w:shd w:val="clear" w:color="auto" w:fill="F5F9F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8BF750E" w14:textId="77777777" w:rsidR="001042AF" w:rsidRDefault="00A339C8">
            <w:r>
              <w:rPr>
                <w:b/>
                <w:color w:val="17365D"/>
                <w:sz w:val="25"/>
              </w:rPr>
              <w:t>Governance, Risk &amp; Security Architecture</w:t>
            </w:r>
          </w:p>
          <w:p w14:paraId="33FA60F8" w14:textId="77777777" w:rsidR="001042AF" w:rsidRDefault="00A339C8">
            <w:pPr>
              <w:spacing w:after="80"/>
            </w:pPr>
            <w:r>
              <w:t>We design scalable GRC programs and secure architectures aligned with modern cloud and API-driven environments.</w:t>
            </w:r>
          </w:p>
          <w:p w14:paraId="2766DD7E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304BE49F" w14:textId="77777777" w:rsidR="001042AF" w:rsidRDefault="00A339C8">
            <w:pPr>
              <w:pStyle w:val="ListBullet"/>
              <w:spacing w:after="20"/>
            </w:pPr>
            <w:r>
              <w:t>Enterprise risk assessments &amp; GRC programs</w:t>
            </w:r>
          </w:p>
          <w:p w14:paraId="6A8E63ED" w14:textId="77777777" w:rsidR="001042AF" w:rsidRDefault="00A339C8">
            <w:pPr>
              <w:pStyle w:val="ListBullet"/>
              <w:spacing w:after="20"/>
            </w:pPr>
            <w:r>
              <w:t>Zero Trust &amp; Identity (IAM) strategy</w:t>
            </w:r>
          </w:p>
          <w:p w14:paraId="739C75D4" w14:textId="77777777" w:rsidR="001042AF" w:rsidRDefault="00A339C8">
            <w:pPr>
              <w:pStyle w:val="ListBullet"/>
              <w:spacing w:after="20"/>
            </w:pPr>
            <w:r>
              <w:t>Cloud and application security governance</w:t>
            </w:r>
          </w:p>
          <w:p w14:paraId="54613416" w14:textId="77777777" w:rsidR="001042AF" w:rsidRDefault="00A339C8">
            <w:pPr>
              <w:pStyle w:val="ListBullet"/>
              <w:spacing w:after="20"/>
            </w:pPr>
            <w:r>
              <w:t>Executive and board-level risk reporting</w:t>
            </w:r>
          </w:p>
        </w:tc>
      </w:tr>
      <w:tr w:rsidR="001042AF" w14:paraId="1CCB3BCE" w14:textId="77777777">
        <w:trPr>
          <w:jc w:val="center"/>
        </w:trPr>
        <w:tc>
          <w:tcPr>
            <w:tcW w:w="5112" w:type="dxa"/>
            <w:shd w:val="clear" w:color="auto" w:fill="EAF4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446CD2D" w14:textId="77777777" w:rsidR="001042AF" w:rsidRDefault="00A339C8">
            <w:r>
              <w:rPr>
                <w:b/>
                <w:color w:val="17365D"/>
                <w:sz w:val="25"/>
              </w:rPr>
              <w:t>Healthcare &amp; Regulated Industry Security</w:t>
            </w:r>
          </w:p>
          <w:p w14:paraId="4B39F384" w14:textId="77777777" w:rsidR="001042AF" w:rsidRDefault="00A339C8">
            <w:pPr>
              <w:spacing w:after="80"/>
            </w:pPr>
            <w:r>
              <w:t>Specialized support for highly regulated environments, especially healthcare and cross-border platforms.</w:t>
            </w:r>
          </w:p>
          <w:p w14:paraId="093FE353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7300AEDB" w14:textId="77777777" w:rsidR="001042AF" w:rsidRDefault="00A339C8">
            <w:pPr>
              <w:pStyle w:val="ListBullet"/>
              <w:spacing w:after="20"/>
            </w:pPr>
            <w:r>
              <w:t>HIPAA compliance &amp; healthcare security architecture</w:t>
            </w:r>
          </w:p>
          <w:p w14:paraId="7C41013D" w14:textId="77777777" w:rsidR="001042AF" w:rsidRDefault="00A339C8">
            <w:pPr>
              <w:pStyle w:val="ListBullet"/>
              <w:spacing w:after="20"/>
            </w:pPr>
            <w:r>
              <w:t>Health data platform risk assessments</w:t>
            </w:r>
          </w:p>
          <w:p w14:paraId="64D980C3" w14:textId="77777777" w:rsidR="001042AF" w:rsidRDefault="00A339C8">
            <w:pPr>
              <w:pStyle w:val="ListBullet"/>
              <w:spacing w:after="20"/>
            </w:pPr>
            <w:r>
              <w:t>Cross-border regulatory alignment (US, Canada, UAE)</w:t>
            </w:r>
          </w:p>
          <w:p w14:paraId="072D9F92" w14:textId="77777777" w:rsidR="001042AF" w:rsidRDefault="00A339C8">
            <w:pPr>
              <w:pStyle w:val="ListBullet"/>
              <w:spacing w:after="20"/>
            </w:pPr>
            <w:r>
              <w:lastRenderedPageBreak/>
              <w:t>Health exchange readiness (Malaffi, Riyati, NABIDH)</w:t>
            </w:r>
          </w:p>
        </w:tc>
        <w:tc>
          <w:tcPr>
            <w:tcW w:w="5112" w:type="dxa"/>
            <w:shd w:val="clear" w:color="auto" w:fill="EAF4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C4F58A3" w14:textId="77777777" w:rsidR="001042AF" w:rsidRDefault="00A339C8">
            <w:r>
              <w:rPr>
                <w:b/>
                <w:color w:val="17365D"/>
                <w:sz w:val="25"/>
              </w:rPr>
              <w:lastRenderedPageBreak/>
              <w:t>Fractional CISO &amp; Ongoing Advisory</w:t>
            </w:r>
          </w:p>
          <w:p w14:paraId="0B0852B0" w14:textId="77777777" w:rsidR="001042AF" w:rsidRDefault="00A339C8">
            <w:pPr>
              <w:spacing w:after="80"/>
            </w:pPr>
            <w:r>
              <w:t>Get senior security leadership without the cost of a full-time hire.</w:t>
            </w:r>
          </w:p>
          <w:p w14:paraId="5958EBF3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4360A417" w14:textId="77777777" w:rsidR="001042AF" w:rsidRDefault="00A339C8">
            <w:pPr>
              <w:pStyle w:val="ListBullet"/>
              <w:spacing w:after="20"/>
            </w:pPr>
            <w:r>
              <w:t>Fractional / Virtual CISO services</w:t>
            </w:r>
          </w:p>
          <w:p w14:paraId="6D83E5E3" w14:textId="77777777" w:rsidR="001042AF" w:rsidRDefault="00A339C8">
            <w:pPr>
              <w:pStyle w:val="ListBullet"/>
              <w:spacing w:after="20"/>
            </w:pPr>
            <w:r>
              <w:t>Ongoing compliance management</w:t>
            </w:r>
          </w:p>
          <w:p w14:paraId="78172601" w14:textId="77777777" w:rsidR="001042AF" w:rsidRDefault="00A339C8">
            <w:pPr>
              <w:pStyle w:val="ListBullet"/>
              <w:spacing w:after="20"/>
            </w:pPr>
            <w:r>
              <w:t>Quarterly risk and control reviews</w:t>
            </w:r>
          </w:p>
          <w:p w14:paraId="2B19EDF9" w14:textId="77777777" w:rsidR="001042AF" w:rsidRDefault="00A339C8">
            <w:pPr>
              <w:pStyle w:val="ListBullet"/>
              <w:spacing w:after="20"/>
            </w:pPr>
            <w:r>
              <w:t>Security maturity assessments</w:t>
            </w:r>
          </w:p>
        </w:tc>
      </w:tr>
      <w:tr w:rsidR="001042AF" w14:paraId="52C0F1D6" w14:textId="77777777">
        <w:trPr>
          <w:jc w:val="center"/>
        </w:trPr>
        <w:tc>
          <w:tcPr>
            <w:tcW w:w="5112" w:type="dxa"/>
            <w:shd w:val="clear" w:color="auto" w:fill="F5F9F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BC21937" w14:textId="77777777" w:rsidR="001042AF" w:rsidRDefault="00A339C8">
            <w:r>
              <w:rPr>
                <w:b/>
                <w:color w:val="17365D"/>
                <w:sz w:val="25"/>
              </w:rPr>
              <w:t>Privacy &amp; Data Protection Advisory</w:t>
            </w:r>
          </w:p>
          <w:p w14:paraId="204E227B" w14:textId="77777777" w:rsidR="001042AF" w:rsidRDefault="00A339C8">
            <w:pPr>
              <w:spacing w:after="80"/>
            </w:pPr>
            <w:r>
              <w:t>We design privacy programs that enable growth while meeting regulatory expectations.</w:t>
            </w:r>
          </w:p>
          <w:p w14:paraId="708D97CE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0305B2D9" w14:textId="77777777" w:rsidR="001042AF" w:rsidRDefault="00A339C8">
            <w:pPr>
              <w:pStyle w:val="ListBullet"/>
              <w:spacing w:after="20"/>
            </w:pPr>
            <w:r>
              <w:t>Privacy program design &amp; maturity assessments</w:t>
            </w:r>
          </w:p>
          <w:p w14:paraId="0CAAEFCC" w14:textId="77777777" w:rsidR="001042AF" w:rsidRDefault="00A339C8">
            <w:pPr>
              <w:pStyle w:val="ListBullet"/>
              <w:spacing w:after="20"/>
            </w:pPr>
            <w:r>
              <w:t>GDPR, PIPEDA, HIPAA alignment</w:t>
            </w:r>
          </w:p>
          <w:p w14:paraId="14BE2B19" w14:textId="77777777" w:rsidR="001042AF" w:rsidRDefault="00A339C8">
            <w:pPr>
              <w:pStyle w:val="ListBullet"/>
              <w:spacing w:after="20"/>
            </w:pPr>
            <w:r>
              <w:t>Privacy Impact Assessments (PIA/DPIA)</w:t>
            </w:r>
          </w:p>
          <w:p w14:paraId="5E881B36" w14:textId="77777777" w:rsidR="001042AF" w:rsidRDefault="00A339C8">
            <w:pPr>
              <w:pStyle w:val="ListBullet"/>
              <w:spacing w:after="20"/>
            </w:pPr>
            <w:r>
              <w:t>Data classification &amp; retention strategies</w:t>
            </w:r>
          </w:p>
          <w:p w14:paraId="2688DFF7" w14:textId="77777777" w:rsidR="001042AF" w:rsidRDefault="00A339C8">
            <w:pPr>
              <w:pStyle w:val="ListBullet"/>
              <w:spacing w:after="20"/>
            </w:pPr>
            <w:r>
              <w:t>Privacy policies and consent governance</w:t>
            </w:r>
          </w:p>
        </w:tc>
        <w:tc>
          <w:tcPr>
            <w:tcW w:w="5112" w:type="dxa"/>
            <w:shd w:val="clear" w:color="auto" w:fill="F5F9F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C04D3C1" w14:textId="77777777" w:rsidR="001042AF" w:rsidRDefault="00A339C8">
            <w:r>
              <w:rPr>
                <w:b/>
                <w:color w:val="17365D"/>
                <w:sz w:val="25"/>
              </w:rPr>
              <w:t>Additional Services</w:t>
            </w:r>
          </w:p>
          <w:p w14:paraId="103C88D4" w14:textId="77777777" w:rsidR="001042AF" w:rsidRDefault="00A339C8">
            <w:r>
              <w:rPr>
                <w:b/>
                <w:color w:val="17365D"/>
              </w:rPr>
              <w:t>What We Support</w:t>
            </w:r>
          </w:p>
          <w:p w14:paraId="7D59EE46" w14:textId="77777777" w:rsidR="001042AF" w:rsidRDefault="00A339C8">
            <w:pPr>
              <w:pStyle w:val="ListBullet"/>
              <w:spacing w:after="20"/>
            </w:pPr>
            <w:r>
              <w:t>Penetration Testing</w:t>
            </w:r>
          </w:p>
          <w:p w14:paraId="7E16FBA5" w14:textId="77777777" w:rsidR="001042AF" w:rsidRDefault="00A339C8">
            <w:pPr>
              <w:pStyle w:val="ListBullet"/>
              <w:spacing w:after="20"/>
            </w:pPr>
            <w:r>
              <w:t>Security Awareness &amp; Training Programs</w:t>
            </w:r>
          </w:p>
        </w:tc>
      </w:tr>
    </w:tbl>
    <w:p w14:paraId="4F0A7330" w14:textId="77777777" w:rsidR="001042AF" w:rsidRDefault="00A339C8">
      <w:r>
        <w:br w:type="page"/>
      </w:r>
    </w:p>
    <w:p w14:paraId="5EF1C71C" w14:textId="77777777" w:rsidR="001042AF" w:rsidRDefault="00A339C8">
      <w:pPr>
        <w:pStyle w:val="Heading1"/>
      </w:pPr>
      <w:r>
        <w:lastRenderedPageBreak/>
        <w:t>Service Packages</w:t>
      </w:r>
    </w:p>
    <w:p w14:paraId="7C7072BB" w14:textId="77777777" w:rsidR="001042AF" w:rsidRDefault="00A339C8">
      <w:r>
        <w:t>Flexible engagement models designed around your organization's stage, regulatory exposure, and security needs.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1042AF" w14:paraId="16B9209D" w14:textId="77777777">
        <w:trPr>
          <w:jc w:val="center"/>
        </w:trPr>
        <w:tc>
          <w:tcPr>
            <w:tcW w:w="10368" w:type="dxa"/>
            <w:shd w:val="clear" w:color="auto" w:fill="0A3767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0EE6FEA" w14:textId="77777777" w:rsidR="001042AF" w:rsidRDefault="00A339C8">
            <w:r>
              <w:rPr>
                <w:b/>
                <w:color w:val="FFFFFF"/>
                <w:sz w:val="28"/>
              </w:rPr>
              <w:t>Foundation Package</w:t>
            </w:r>
          </w:p>
          <w:p w14:paraId="564820C6" w14:textId="77777777" w:rsidR="001042AF" w:rsidRDefault="00A339C8">
            <w:r>
              <w:rPr>
                <w:b/>
                <w:color w:val="119FD0"/>
              </w:rPr>
              <w:t xml:space="preserve">Best for: </w:t>
            </w:r>
            <w:r>
              <w:rPr>
                <w:color w:val="FFFFFF"/>
              </w:rPr>
              <w:t>Startups &amp; early-stage companies</w:t>
            </w:r>
          </w:p>
          <w:p w14:paraId="281E31AF" w14:textId="77777777" w:rsidR="001042AF" w:rsidRDefault="00A339C8">
            <w:r>
              <w:rPr>
                <w:b/>
                <w:color w:val="119FD0"/>
              </w:rPr>
              <w:t xml:space="preserve">Purpose: </w:t>
            </w:r>
            <w:r>
              <w:rPr>
                <w:color w:val="FFFFFF"/>
              </w:rPr>
              <w:t>Build audit-ready fundamentals quickly</w:t>
            </w:r>
          </w:p>
          <w:p w14:paraId="2964DF24" w14:textId="77777777" w:rsidR="001042AF" w:rsidRDefault="00A339C8">
            <w:r>
              <w:rPr>
                <w:b/>
                <w:color w:val="119FD0"/>
              </w:rPr>
              <w:t>Includes</w:t>
            </w:r>
          </w:p>
          <w:p w14:paraId="1DD13661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Gap assessment (security, privacy, compliance)</w:t>
            </w:r>
          </w:p>
          <w:p w14:paraId="7E1FF9F5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SOC 2 / ISO 27001 roadmap</w:t>
            </w:r>
          </w:p>
          <w:p w14:paraId="2BC51A3A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Core policies &amp; templates</w:t>
            </w:r>
          </w:p>
          <w:p w14:paraId="438BDE0A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High-level risk assessment</w:t>
            </w:r>
          </w:p>
          <w:p w14:paraId="67D1FD99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Executive summary &amp; next steps</w:t>
            </w:r>
          </w:p>
          <w:p w14:paraId="7DFAB9DC" w14:textId="77777777" w:rsidR="001042AF" w:rsidRDefault="00A339C8">
            <w:r>
              <w:rPr>
                <w:b/>
                <w:color w:val="119FD0"/>
              </w:rPr>
              <w:t>Delivery: 4–6 weeks</w:t>
            </w:r>
          </w:p>
        </w:tc>
      </w:tr>
    </w:tbl>
    <w:p w14:paraId="5724EBE5" w14:textId="77777777" w:rsidR="001042AF" w:rsidRDefault="001042AF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1042AF" w14:paraId="72E8B7FC" w14:textId="77777777">
        <w:trPr>
          <w:jc w:val="center"/>
        </w:trPr>
        <w:tc>
          <w:tcPr>
            <w:tcW w:w="10368" w:type="dxa"/>
            <w:shd w:val="clear" w:color="auto" w:fill="0A3767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3E7A8742" w14:textId="77777777" w:rsidR="001042AF" w:rsidRDefault="00A339C8">
            <w:r>
              <w:rPr>
                <w:b/>
                <w:color w:val="FFFFFF"/>
                <w:sz w:val="28"/>
              </w:rPr>
              <w:t>Growth Package</w:t>
            </w:r>
          </w:p>
          <w:p w14:paraId="7DA3CB5C" w14:textId="77777777" w:rsidR="001042AF" w:rsidRDefault="00A339C8">
            <w:r>
              <w:rPr>
                <w:b/>
                <w:color w:val="119FD0"/>
              </w:rPr>
              <w:t xml:space="preserve">Best for: </w:t>
            </w:r>
            <w:r>
              <w:rPr>
                <w:color w:val="FFFFFF"/>
              </w:rPr>
              <w:t>Scaling SaaS &amp; regulated companies</w:t>
            </w:r>
          </w:p>
          <w:p w14:paraId="0FBD8734" w14:textId="77777777" w:rsidR="001042AF" w:rsidRDefault="00A339C8">
            <w:r>
              <w:rPr>
                <w:b/>
                <w:color w:val="119FD0"/>
              </w:rPr>
              <w:t xml:space="preserve">Purpose: </w:t>
            </w:r>
            <w:r>
              <w:rPr>
                <w:color w:val="FFFFFF"/>
              </w:rPr>
              <w:t>Build a scalable, audit-ready program</w:t>
            </w:r>
          </w:p>
          <w:p w14:paraId="74F89640" w14:textId="77777777" w:rsidR="001042AF" w:rsidRDefault="00A339C8">
            <w:r>
              <w:rPr>
                <w:b/>
                <w:color w:val="119FD0"/>
              </w:rPr>
              <w:t>Includes</w:t>
            </w:r>
          </w:p>
          <w:p w14:paraId="7FA91693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SOC 2 / ISO 27001 / HIPAA readiness</w:t>
            </w:r>
          </w:p>
          <w:p w14:paraId="14D3F307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Privacy alignment (GDPR, PIPEDA)</w:t>
            </w:r>
          </w:p>
          <w:p w14:paraId="221EFD21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Detailed risk assessment &amp; control mapping</w:t>
            </w:r>
          </w:p>
          <w:p w14:paraId="19E1AD90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Cloud security &amp; architecture review</w:t>
            </w:r>
          </w:p>
          <w:p w14:paraId="01CC273C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Audit evidence preparation</w:t>
            </w:r>
          </w:p>
          <w:p w14:paraId="1009EBF0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Vendor risk framework</w:t>
            </w:r>
          </w:p>
          <w:p w14:paraId="67AD0013" w14:textId="77777777" w:rsidR="001042AF" w:rsidRDefault="00A339C8">
            <w:r>
              <w:rPr>
                <w:b/>
                <w:color w:val="119FD0"/>
              </w:rPr>
              <w:t>Delivery: 8–12 weeks</w:t>
            </w:r>
          </w:p>
        </w:tc>
      </w:tr>
    </w:tbl>
    <w:p w14:paraId="64E72BA4" w14:textId="77777777" w:rsidR="001042AF" w:rsidRDefault="001042AF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1042AF" w14:paraId="2F595B3A" w14:textId="77777777">
        <w:trPr>
          <w:jc w:val="center"/>
        </w:trPr>
        <w:tc>
          <w:tcPr>
            <w:tcW w:w="10368" w:type="dxa"/>
            <w:shd w:val="clear" w:color="auto" w:fill="0A3767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13821E67" w14:textId="77777777" w:rsidR="001042AF" w:rsidRDefault="00A339C8">
            <w:r>
              <w:rPr>
                <w:b/>
                <w:color w:val="FFFFFF"/>
                <w:sz w:val="28"/>
              </w:rPr>
              <w:t>Enterprise &amp; Regulated Package</w:t>
            </w:r>
          </w:p>
          <w:p w14:paraId="01D51782" w14:textId="77777777" w:rsidR="001042AF" w:rsidRDefault="00A339C8">
            <w:r>
              <w:rPr>
                <w:b/>
                <w:color w:val="119FD0"/>
              </w:rPr>
              <w:t xml:space="preserve">Best for: </w:t>
            </w:r>
            <w:r>
              <w:rPr>
                <w:color w:val="FFFFFF"/>
              </w:rPr>
              <w:t>Healthcare, fintech, global organizations</w:t>
            </w:r>
          </w:p>
          <w:p w14:paraId="66F391A5" w14:textId="77777777" w:rsidR="001042AF" w:rsidRDefault="00A339C8">
            <w:r>
              <w:rPr>
                <w:b/>
                <w:color w:val="119FD0"/>
              </w:rPr>
              <w:t xml:space="preserve">Purpose: </w:t>
            </w:r>
            <w:r>
              <w:rPr>
                <w:color w:val="FFFFFF"/>
              </w:rPr>
              <w:t>Enable compliance across jurisdictions</w:t>
            </w:r>
          </w:p>
          <w:p w14:paraId="2927425C" w14:textId="77777777" w:rsidR="001042AF" w:rsidRDefault="00A339C8">
            <w:r>
              <w:rPr>
                <w:b/>
                <w:color w:val="119FD0"/>
              </w:rPr>
              <w:t>Includes</w:t>
            </w:r>
          </w:p>
          <w:p w14:paraId="62297E9D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Multi-framework strategy (SOC 2, ISO, HIPAA, NIST)</w:t>
            </w:r>
          </w:p>
          <w:p w14:paraId="6CEB39E7" w14:textId="77777777" w:rsidR="001042AF" w:rsidRDefault="00A339C8">
            <w:pPr>
              <w:pStyle w:val="ListBullet"/>
            </w:pPr>
            <w:r>
              <w:rPr>
                <w:color w:val="FFFFFF"/>
              </w:rPr>
              <w:lastRenderedPageBreak/>
              <w:t>Privacy impact assessments (PIA/DPIA)</w:t>
            </w:r>
          </w:p>
          <w:p w14:paraId="17195033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Cross-border regulatory alignment</w:t>
            </w:r>
          </w:p>
          <w:p w14:paraId="412682FA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Healthcare exchange readiness</w:t>
            </w:r>
          </w:p>
          <w:p w14:paraId="7D7B9179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Incident response planning</w:t>
            </w:r>
          </w:p>
          <w:p w14:paraId="0888DB4D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Executive risk reporting</w:t>
            </w:r>
          </w:p>
          <w:p w14:paraId="0551D4B2" w14:textId="77777777" w:rsidR="001042AF" w:rsidRDefault="00A339C8">
            <w:r>
              <w:rPr>
                <w:b/>
                <w:color w:val="119FD0"/>
              </w:rPr>
              <w:t>Customized phased engagement</w:t>
            </w:r>
          </w:p>
        </w:tc>
      </w:tr>
    </w:tbl>
    <w:p w14:paraId="120D7A25" w14:textId="77777777" w:rsidR="001042AF" w:rsidRDefault="001042AF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1042AF" w14:paraId="55E9F5DF" w14:textId="77777777">
        <w:trPr>
          <w:jc w:val="center"/>
        </w:trPr>
        <w:tc>
          <w:tcPr>
            <w:tcW w:w="10368" w:type="dxa"/>
            <w:shd w:val="clear" w:color="auto" w:fill="0A3767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2A138827" w14:textId="77777777" w:rsidR="001042AF" w:rsidRDefault="00A339C8">
            <w:r>
              <w:rPr>
                <w:b/>
                <w:color w:val="FFFFFF"/>
                <w:sz w:val="28"/>
              </w:rPr>
              <w:t>Fractional Leadership Package</w:t>
            </w:r>
          </w:p>
          <w:p w14:paraId="4A5B082C" w14:textId="77777777" w:rsidR="001042AF" w:rsidRDefault="00A339C8">
            <w:r>
              <w:rPr>
                <w:b/>
                <w:color w:val="119FD0"/>
              </w:rPr>
              <w:t xml:space="preserve">Best for: </w:t>
            </w:r>
            <w:r>
              <w:rPr>
                <w:color w:val="FFFFFF"/>
              </w:rPr>
              <w:t>Companies needing ongoing strategic guidance</w:t>
            </w:r>
          </w:p>
          <w:p w14:paraId="21556F2E" w14:textId="77777777" w:rsidR="001042AF" w:rsidRDefault="00A339C8">
            <w:r>
              <w:rPr>
                <w:b/>
                <w:color w:val="119FD0"/>
              </w:rPr>
              <w:t xml:space="preserve">Purpose: </w:t>
            </w:r>
            <w:r>
              <w:rPr>
                <w:color w:val="FFFFFF"/>
              </w:rPr>
              <w:t>Provide continuous security leadership</w:t>
            </w:r>
          </w:p>
          <w:p w14:paraId="65970077" w14:textId="77777777" w:rsidR="001042AF" w:rsidRDefault="00A339C8">
            <w:r>
              <w:rPr>
                <w:b/>
                <w:color w:val="119FD0"/>
              </w:rPr>
              <w:t>Includes</w:t>
            </w:r>
          </w:p>
          <w:p w14:paraId="6CF9BD61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Fractional CISO / Privacy Lead</w:t>
            </w:r>
          </w:p>
          <w:p w14:paraId="43E31E82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Continuous compliance oversight</w:t>
            </w:r>
          </w:p>
          <w:p w14:paraId="7B164D32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Quarterly risk reviews</w:t>
            </w:r>
          </w:p>
          <w:p w14:paraId="219C6D8E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Incident response leadership</w:t>
            </w:r>
          </w:p>
          <w:p w14:paraId="092393C4" w14:textId="77777777" w:rsidR="001042AF" w:rsidRDefault="00A339C8">
            <w:pPr>
              <w:pStyle w:val="ListBullet"/>
            </w:pPr>
            <w:r>
              <w:rPr>
                <w:color w:val="FFFFFF"/>
              </w:rPr>
              <w:t>Tabletop exercises</w:t>
            </w:r>
          </w:p>
          <w:p w14:paraId="34E87C01" w14:textId="77777777" w:rsidR="001042AF" w:rsidRDefault="00A339C8">
            <w:r>
              <w:rPr>
                <w:b/>
                <w:color w:val="119FD0"/>
              </w:rPr>
              <w:t>Delivery: Monthly retainer</w:t>
            </w:r>
          </w:p>
        </w:tc>
      </w:tr>
    </w:tbl>
    <w:p w14:paraId="0B8A5F1B" w14:textId="77777777" w:rsidR="001042AF" w:rsidRDefault="001042AF">
      <w:pPr>
        <w:spacing w:after="20"/>
      </w:pPr>
    </w:p>
    <w:p w14:paraId="566F4249" w14:textId="77777777" w:rsidR="001042AF" w:rsidRDefault="00A339C8">
      <w:pPr>
        <w:spacing w:before="200"/>
        <w:jc w:val="center"/>
      </w:pPr>
      <w:r>
        <w:rPr>
          <w:b/>
          <w:color w:val="0A3767"/>
          <w:sz w:val="30"/>
        </w:rPr>
        <w:t>Ready to discuss your security or compliance requirement?</w:t>
      </w:r>
    </w:p>
    <w:p w14:paraId="054EBC32" w14:textId="77777777" w:rsidR="001042AF" w:rsidRDefault="00A339C8">
      <w:pPr>
        <w:jc w:val="center"/>
      </w:pPr>
      <w:r>
        <w:rPr>
          <w:b/>
          <w:color w:val="119FD0"/>
          <w:sz w:val="22"/>
        </w:rPr>
        <w:t>Book a consultation at www.nkcybertech.com  |  info@nkcybertech.com</w:t>
      </w:r>
    </w:p>
    <w:sectPr w:rsidR="001042AF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35CE" w14:textId="77777777" w:rsidR="00A339C8" w:rsidRDefault="00A339C8">
      <w:pPr>
        <w:spacing w:after="0" w:line="240" w:lineRule="auto"/>
      </w:pPr>
      <w:r>
        <w:separator/>
      </w:r>
    </w:p>
  </w:endnote>
  <w:endnote w:type="continuationSeparator" w:id="0">
    <w:p w14:paraId="1348814A" w14:textId="77777777" w:rsidR="00A339C8" w:rsidRDefault="00A3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70F0" w14:textId="77777777" w:rsidR="001042AF" w:rsidRDefault="00A339C8">
    <w:pPr>
      <w:pStyle w:val="Footer"/>
      <w:jc w:val="center"/>
    </w:pPr>
    <w:proofErr w:type="spellStart"/>
    <w:r>
      <w:rPr>
        <w:color w:val="777777"/>
        <w:sz w:val="16"/>
      </w:rPr>
      <w:t>NKCyberTech</w:t>
    </w:r>
    <w:proofErr w:type="spellEnd"/>
    <w:r>
      <w:rPr>
        <w:color w:val="777777"/>
        <w:sz w:val="16"/>
      </w:rPr>
      <w:t xml:space="preserve"> | Cybersecurity • Risk • Privacy • Compliance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2F2ED" w14:textId="77777777" w:rsidR="00A339C8" w:rsidRDefault="00A339C8">
      <w:pPr>
        <w:spacing w:after="0" w:line="240" w:lineRule="auto"/>
      </w:pPr>
      <w:r>
        <w:separator/>
      </w:r>
    </w:p>
  </w:footnote>
  <w:footnote w:type="continuationSeparator" w:id="0">
    <w:p w14:paraId="06B5D135" w14:textId="77777777" w:rsidR="00A339C8" w:rsidRDefault="00A33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3845123">
    <w:abstractNumId w:val="8"/>
  </w:num>
  <w:num w:numId="2" w16cid:durableId="300892012">
    <w:abstractNumId w:val="6"/>
  </w:num>
  <w:num w:numId="3" w16cid:durableId="505169713">
    <w:abstractNumId w:val="5"/>
  </w:num>
  <w:num w:numId="4" w16cid:durableId="579289600">
    <w:abstractNumId w:val="4"/>
  </w:num>
  <w:num w:numId="5" w16cid:durableId="477457605">
    <w:abstractNumId w:val="7"/>
  </w:num>
  <w:num w:numId="6" w16cid:durableId="1644041726">
    <w:abstractNumId w:val="3"/>
  </w:num>
  <w:num w:numId="7" w16cid:durableId="379789068">
    <w:abstractNumId w:val="2"/>
  </w:num>
  <w:num w:numId="8" w16cid:durableId="1921989037">
    <w:abstractNumId w:val="1"/>
  </w:num>
  <w:num w:numId="9" w16cid:durableId="83835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2AF"/>
    <w:rsid w:val="0015074B"/>
    <w:rsid w:val="00166406"/>
    <w:rsid w:val="00294F88"/>
    <w:rsid w:val="0029639D"/>
    <w:rsid w:val="00326F90"/>
    <w:rsid w:val="00A339C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F16961"/>
  <w14:defaultImageDpi w14:val="300"/>
  <w15:docId w15:val="{DC1BD67E-0F5A-4995-8505-6C47C6E4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4A4A4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3767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A376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Naveed Khan</cp:lastModifiedBy>
  <cp:revision>2</cp:revision>
  <dcterms:created xsi:type="dcterms:W3CDTF">2026-09-06T21:35:00Z</dcterms:created>
  <dcterms:modified xsi:type="dcterms:W3CDTF">2026-09-06T21:35:00Z</dcterms:modified>
  <cp:category/>
</cp:coreProperties>
</file>